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70582E81"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0D3CAF">
        <w:rPr>
          <w:rFonts w:eastAsia="Times New Roman"/>
          <w:b/>
          <w:noProof/>
          <w:sz w:val="24"/>
        </w:rPr>
        <w:t>100</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3363AC">
        <w:rPr>
          <w:rFonts w:eastAsia="Times New Roman"/>
          <w:b/>
          <w:noProof/>
          <w:sz w:val="24"/>
        </w:rPr>
        <w:t>114231</w:t>
      </w:r>
      <w:bookmarkStart w:id="4" w:name="_GoBack"/>
      <w:bookmarkEnd w:id="4"/>
    </w:p>
    <w:p w14:paraId="38445688" w14:textId="59A1A1C8"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CA3965">
        <w:rPr>
          <w:rFonts w:eastAsia="SimSun"/>
          <w:bCs w:val="0"/>
          <w:sz w:val="24"/>
          <w:lang w:eastAsia="zh-CN"/>
        </w:rPr>
        <w:t>16</w:t>
      </w:r>
      <w:r w:rsidR="006D4E0E">
        <w:rPr>
          <w:rFonts w:eastAsia="SimSun"/>
          <w:bCs w:val="0"/>
          <w:sz w:val="24"/>
          <w:lang w:eastAsia="zh-CN"/>
        </w:rPr>
        <w:t xml:space="preserve"> - </w:t>
      </w:r>
      <w:r w:rsidR="00E04A4C">
        <w:rPr>
          <w:rFonts w:eastAsia="SimSun"/>
          <w:bCs w:val="0"/>
          <w:sz w:val="24"/>
          <w:lang w:eastAsia="zh-CN"/>
        </w:rPr>
        <w:t>2</w:t>
      </w:r>
      <w:r w:rsidR="004012E1">
        <w:rPr>
          <w:rFonts w:eastAsia="SimSun"/>
          <w:bCs w:val="0"/>
          <w:sz w:val="24"/>
          <w:lang w:eastAsia="zh-CN"/>
        </w:rPr>
        <w:t>7</w:t>
      </w:r>
      <w:r>
        <w:rPr>
          <w:rFonts w:eastAsia="SimSun"/>
          <w:bCs w:val="0"/>
          <w:sz w:val="24"/>
          <w:lang w:eastAsia="zh-CN"/>
        </w:rPr>
        <w:t xml:space="preserve"> </w:t>
      </w:r>
      <w:r w:rsidR="00CA3965">
        <w:rPr>
          <w:rFonts w:eastAsia="SimSun"/>
          <w:bCs w:val="0"/>
          <w:sz w:val="24"/>
          <w:lang w:eastAsia="zh-CN"/>
        </w:rPr>
        <w:t>Aug</w:t>
      </w:r>
      <w:r w:rsidRPr="009F4EEE">
        <w:rPr>
          <w:rFonts w:eastAsia="SimSun"/>
          <w:bCs w:val="0"/>
          <w:sz w:val="24"/>
          <w:lang w:eastAsia="zh-CN"/>
        </w:rPr>
        <w:t xml:space="preserve"> 20</w:t>
      </w:r>
      <w:bookmarkEnd w:id="5"/>
      <w:bookmarkEnd w:id="6"/>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2820CE89"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645B7" w:rsidRPr="003645B7">
        <w:rPr>
          <w:rFonts w:ascii="Arial" w:hAnsi="Arial" w:cs="Arial"/>
          <w:sz w:val="22"/>
        </w:rPr>
        <w:t>Discussion on EU band allocation</w:t>
      </w:r>
    </w:p>
    <w:p w14:paraId="0F34F3E0" w14:textId="58F4EE32"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0D3CAF">
        <w:rPr>
          <w:rFonts w:ascii="Arial" w:hAnsi="Arial" w:cs="Arial"/>
          <w:sz w:val="22"/>
        </w:rPr>
        <w:t>8.1.2</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bookmarkEnd w:id="2"/>
    <w:bookmarkEnd w:id="3"/>
    <w:p w14:paraId="640C5CB8" w14:textId="14F87D97" w:rsidR="007A1959" w:rsidRDefault="000D3CAF" w:rsidP="000D3CAF">
      <w:pPr>
        <w:rPr>
          <w:lang w:val="en-US" w:eastAsia="zh-CN"/>
        </w:rPr>
      </w:pPr>
      <w:r>
        <w:rPr>
          <w:lang w:val="en-US" w:eastAsia="zh-CN"/>
        </w:rPr>
        <w:t>This issue was once again discussed at length in the last meeting and no significant progress was made. The issue remains with 2 options in the WF (R4-2108020)</w:t>
      </w:r>
    </w:p>
    <w:p w14:paraId="566CFEFA" w14:textId="77777777" w:rsidR="00505E27" w:rsidRPr="000D3CAF" w:rsidRDefault="0025042B" w:rsidP="000D3CAF">
      <w:pPr>
        <w:numPr>
          <w:ilvl w:val="0"/>
          <w:numId w:val="19"/>
        </w:numPr>
        <w:rPr>
          <w:lang w:val="en-US" w:eastAsia="sv-SE"/>
        </w:rPr>
      </w:pPr>
      <w:r w:rsidRPr="000D3CAF">
        <w:rPr>
          <w:lang w:eastAsia="sv-SE"/>
        </w:rPr>
        <w:t>Proposals</w:t>
      </w:r>
    </w:p>
    <w:p w14:paraId="2E7EAEA3" w14:textId="77777777" w:rsidR="00505E27" w:rsidRPr="000D3CAF" w:rsidRDefault="0025042B" w:rsidP="000D3CAF">
      <w:pPr>
        <w:numPr>
          <w:ilvl w:val="1"/>
          <w:numId w:val="19"/>
        </w:numPr>
        <w:rPr>
          <w:lang w:val="en-US" w:eastAsia="sv-SE"/>
        </w:rPr>
      </w:pPr>
      <w:r w:rsidRPr="000D3CAF">
        <w:rPr>
          <w:b/>
          <w:bCs/>
          <w:lang w:eastAsia="sv-SE"/>
        </w:rPr>
        <w:t>Option 1:</w:t>
      </w:r>
      <w:r w:rsidRPr="000D3CAF">
        <w:rPr>
          <w:lang w:eastAsia="sv-SE"/>
        </w:rPr>
        <w:t xml:space="preserve"> Re-using already defined band n96, for the frequency range 5945 MHz to 6425 MHz </w:t>
      </w:r>
      <w:r w:rsidRPr="000D3CAF">
        <w:rPr>
          <w:lang w:eastAsia="sv-SE"/>
        </w:rPr>
        <w:br/>
        <w:t>(HPE, Nokia, Intel, Skyworks, Facebook, Charter, CableLabs, Apple, Qualcomm, OPPO)</w:t>
      </w:r>
    </w:p>
    <w:p w14:paraId="4CFE79AE" w14:textId="77777777" w:rsidR="00505E27" w:rsidRPr="000D3CAF" w:rsidRDefault="0025042B" w:rsidP="000D3CAF">
      <w:pPr>
        <w:numPr>
          <w:ilvl w:val="2"/>
          <w:numId w:val="19"/>
        </w:numPr>
        <w:rPr>
          <w:lang w:val="en-US" w:eastAsia="sv-SE"/>
        </w:rPr>
      </w:pPr>
      <w:r w:rsidRPr="000D3CAF">
        <w:rPr>
          <w:lang w:eastAsia="sv-SE"/>
        </w:rPr>
        <w:t>FFS if additional notes and/or clarifications are needed. Regional specific requirements to be included in relevant specifications.</w:t>
      </w:r>
    </w:p>
    <w:p w14:paraId="598EF994" w14:textId="77777777" w:rsidR="00505E27" w:rsidRPr="000D3CAF" w:rsidRDefault="0025042B" w:rsidP="000D3CAF">
      <w:pPr>
        <w:numPr>
          <w:ilvl w:val="1"/>
          <w:numId w:val="19"/>
        </w:numPr>
        <w:rPr>
          <w:lang w:val="en-US" w:eastAsia="sv-SE"/>
        </w:rPr>
      </w:pPr>
      <w:r w:rsidRPr="000D3CAF">
        <w:rPr>
          <w:b/>
          <w:bCs/>
          <w:lang w:eastAsia="sv-SE"/>
        </w:rPr>
        <w:t>Option 2:</w:t>
      </w:r>
      <w:r w:rsidRPr="000D3CAF">
        <w:rPr>
          <w:lang w:eastAsia="sv-SE"/>
        </w:rPr>
        <w:t xml:space="preserve"> Defining a new band n[xx], for the frequency range 5945 MHz to 6425 MHz </w:t>
      </w:r>
      <w:r w:rsidRPr="000D3CAF">
        <w:rPr>
          <w:lang w:eastAsia="sv-SE"/>
        </w:rPr>
        <w:br/>
        <w:t>(Ericsson, ZTE, Huawei, BT, Orange, TIM, OPPO, DT)</w:t>
      </w:r>
    </w:p>
    <w:p w14:paraId="5D0975C9" w14:textId="77777777" w:rsidR="00505E27" w:rsidRPr="000D3CAF" w:rsidRDefault="0025042B" w:rsidP="000D3CAF">
      <w:pPr>
        <w:numPr>
          <w:ilvl w:val="2"/>
          <w:numId w:val="19"/>
        </w:numPr>
        <w:rPr>
          <w:lang w:val="en-US" w:eastAsia="sv-SE"/>
        </w:rPr>
      </w:pPr>
      <w:r w:rsidRPr="000D3CAF">
        <w:rPr>
          <w:lang w:eastAsia="sv-SE"/>
        </w:rPr>
        <w:t>On top of specific requirements provided by ECC, the new band shall reuse requirements already defined for n96, where possible.</w:t>
      </w:r>
    </w:p>
    <w:p w14:paraId="4EF883C0" w14:textId="77777777" w:rsidR="00505E27" w:rsidRPr="000D3CAF" w:rsidRDefault="0025042B" w:rsidP="000D3CAF">
      <w:pPr>
        <w:numPr>
          <w:ilvl w:val="0"/>
          <w:numId w:val="20"/>
        </w:numPr>
        <w:rPr>
          <w:lang w:val="en-US" w:eastAsia="sv-SE"/>
        </w:rPr>
      </w:pPr>
      <w:r w:rsidRPr="000D3CAF">
        <w:rPr>
          <w:lang w:eastAsia="sv-SE"/>
        </w:rPr>
        <w:t>Note that selecting any of the options above shall not in any way interfere with regulatory activities and timelines for the 6 GHz range. (As per RAN agreement)</w:t>
      </w:r>
    </w:p>
    <w:p w14:paraId="1BF6CF64" w14:textId="40881321" w:rsidR="000D3CAF" w:rsidRPr="000D3CAF" w:rsidRDefault="000D3CAF" w:rsidP="000D3CAF">
      <w:pPr>
        <w:rPr>
          <w:lang w:val="en-US" w:eastAsia="sv-SE"/>
        </w:rPr>
      </w:pPr>
      <w:r>
        <w:rPr>
          <w:rFonts w:hint="eastAsia"/>
          <w:lang w:val="en-US" w:eastAsia="sv-SE"/>
        </w:rPr>
        <w:t>O</w:t>
      </w:r>
      <w:r>
        <w:rPr>
          <w:lang w:val="en-US" w:eastAsia="sv-SE"/>
        </w:rPr>
        <w:t>ur view has not significantly changed since the last meeting so this paper summarizes our views which were explained in more detail in R4-2111408, with some clarifications based on comments and discussion in the last meeting</w:t>
      </w:r>
    </w:p>
    <w:p w14:paraId="66CAA67B" w14:textId="28D49E90" w:rsidR="00C16A94" w:rsidRDefault="006A5597" w:rsidP="00357113">
      <w:pPr>
        <w:pStyle w:val="Heading1"/>
        <w:numPr>
          <w:ilvl w:val="0"/>
          <w:numId w:val="2"/>
        </w:numPr>
        <w:rPr>
          <w:lang w:eastAsia="sv-SE"/>
        </w:rPr>
      </w:pPr>
      <w:r>
        <w:rPr>
          <w:rFonts w:hint="eastAsia"/>
          <w:lang w:eastAsia="sv-SE"/>
        </w:rPr>
        <w:t>Dis</w:t>
      </w:r>
      <w:r>
        <w:rPr>
          <w:lang w:eastAsia="sv-SE"/>
        </w:rPr>
        <w:t>cussion</w:t>
      </w:r>
    </w:p>
    <w:p w14:paraId="3F52BA8C" w14:textId="79C104E3" w:rsidR="000D3CAF" w:rsidRDefault="000D3CAF" w:rsidP="003645B7">
      <w:pPr>
        <w:rPr>
          <w:lang w:eastAsia="sv-SE"/>
        </w:rPr>
      </w:pPr>
      <w:r>
        <w:rPr>
          <w:lang w:eastAsia="sv-SE"/>
        </w:rPr>
        <w:t>The opinions of the companies seems to be almost split between UE vendors and component suppliers and BS vendors and operators.</w:t>
      </w:r>
    </w:p>
    <w:p w14:paraId="10286BEC" w14:textId="6AF23C41" w:rsidR="000D3CAF" w:rsidRDefault="000D3CAF" w:rsidP="003645B7">
      <w:pPr>
        <w:rPr>
          <w:lang w:eastAsia="sv-SE"/>
        </w:rPr>
      </w:pPr>
      <w:r>
        <w:rPr>
          <w:lang w:eastAsia="sv-SE"/>
        </w:rPr>
        <w:t>Some of the technical arguments highlight this division.</w:t>
      </w:r>
    </w:p>
    <w:p w14:paraId="5A8CE9CD" w14:textId="2E5DAEF0" w:rsidR="000D3CAF" w:rsidRDefault="000D3CAF" w:rsidP="000D3CAF">
      <w:pPr>
        <w:pStyle w:val="B1"/>
        <w:numPr>
          <w:ilvl w:val="1"/>
          <w:numId w:val="19"/>
        </w:numPr>
        <w:rPr>
          <w:lang w:eastAsia="sv-SE"/>
        </w:rPr>
      </w:pPr>
      <w:r>
        <w:rPr>
          <w:lang w:eastAsia="sv-SE"/>
        </w:rPr>
        <w:t>UE specification are written in a carrier centric fashion as such requirements do not change significantly if the band changes.</w:t>
      </w:r>
    </w:p>
    <w:p w14:paraId="52F529E4" w14:textId="151D66FD" w:rsidR="000D3CAF" w:rsidRDefault="000D3CAF" w:rsidP="000D3CAF">
      <w:pPr>
        <w:pStyle w:val="B1"/>
        <w:numPr>
          <w:ilvl w:val="1"/>
          <w:numId w:val="19"/>
        </w:numPr>
        <w:rPr>
          <w:lang w:eastAsia="sv-SE"/>
        </w:rPr>
      </w:pPr>
      <w:r>
        <w:rPr>
          <w:lang w:eastAsia="sv-SE"/>
        </w:rPr>
        <w:t>BS specifications are written in a band centric fashion, most of the requirements are based on the operating band edges and the operating band bandwidth.</w:t>
      </w:r>
    </w:p>
    <w:p w14:paraId="7E5CB4E6" w14:textId="6D7B1294" w:rsidR="000D3CAF" w:rsidRDefault="003A06FD" w:rsidP="003645B7">
      <w:pPr>
        <w:rPr>
          <w:lang w:eastAsia="sv-SE"/>
        </w:rPr>
      </w:pPr>
      <w:r>
        <w:rPr>
          <w:rFonts w:hint="eastAsia"/>
          <w:lang w:eastAsia="sv-SE"/>
        </w:rPr>
        <w:t>A</w:t>
      </w:r>
      <w:r>
        <w:rPr>
          <w:lang w:eastAsia="sv-SE"/>
        </w:rPr>
        <w:t>s such incorporating a new band in the BS specifications is much easier than using notes and exceptions throughout the spec. As far as the BS spec is concerned if the operating band is different then the requirements are different it is much simpler to just use a new band number. A number of cases were highlighted in R4-2111408 last meeting including: F</w:t>
      </w:r>
      <w:r w:rsidRPr="003A06FD">
        <w:rPr>
          <w:vertAlign w:val="subscript"/>
          <w:lang w:eastAsia="sv-SE"/>
        </w:rPr>
        <w:t>OBUE</w:t>
      </w:r>
      <w:r>
        <w:rPr>
          <w:lang w:eastAsia="sv-SE"/>
        </w:rPr>
        <w:t xml:space="preserve"> , Spurious emissions and blocking requirements.</w:t>
      </w:r>
    </w:p>
    <w:p w14:paraId="682069D9" w14:textId="0A6E0612" w:rsidR="003A06FD" w:rsidRDefault="003A06FD" w:rsidP="003645B7">
      <w:pPr>
        <w:rPr>
          <w:lang w:eastAsia="sv-SE"/>
        </w:rPr>
      </w:pPr>
      <w:r>
        <w:rPr>
          <w:lang w:eastAsia="sv-SE"/>
        </w:rPr>
        <w:t>Whilst it can perhaps be accepted that a band n96 UE is fully compliant over the EU sub-band it is not the case with the BS.</w:t>
      </w:r>
    </w:p>
    <w:p w14:paraId="6E92A26C" w14:textId="17011716" w:rsidR="003A06FD" w:rsidRDefault="003A06FD" w:rsidP="003645B7">
      <w:pPr>
        <w:rPr>
          <w:lang w:eastAsia="sv-SE"/>
        </w:rPr>
      </w:pPr>
      <w:r>
        <w:rPr>
          <w:rFonts w:hint="eastAsia"/>
          <w:lang w:eastAsia="sv-SE"/>
        </w:rPr>
        <w:lastRenderedPageBreak/>
        <w:t>I</w:t>
      </w:r>
      <w:r>
        <w:rPr>
          <w:lang w:eastAsia="sv-SE"/>
        </w:rPr>
        <w:t>t has also been argued that precedent has been set using the same band numbers for sub-band in the past, however it is also true that if we use precedent there are a number of bands which overlap where different band numbers have been used.</w:t>
      </w:r>
      <w:r w:rsidR="00766067">
        <w:rPr>
          <w:lang w:eastAsia="sv-SE"/>
        </w:rPr>
        <w:t xml:space="preserve"> As such we don’t believe that precedent really favours one argument or the other.</w:t>
      </w:r>
    </w:p>
    <w:p w14:paraId="3E8B3AD4" w14:textId="47BDF75F" w:rsidR="000D3CAF" w:rsidRDefault="00766067" w:rsidP="003645B7">
      <w:pPr>
        <w:rPr>
          <w:lang w:eastAsia="sv-SE"/>
        </w:rPr>
      </w:pPr>
      <w:r>
        <w:rPr>
          <w:lang w:eastAsia="sv-SE"/>
        </w:rPr>
        <w:t xml:space="preserve">However when drafting the EU TFES specification for the NR BS having the EU operating band differ from the 3GPP defined operating band does make the requirements unnecessarily complicated. For the existing </w:t>
      </w:r>
      <w:r w:rsidR="00F74DAF">
        <w:rPr>
          <w:lang w:eastAsia="sv-SE"/>
        </w:rPr>
        <w:t xml:space="preserve">scenario it is necessary to redefine the operating band within the TFES requirement, this is not ideal. However in the case of n96 and the EU part of it the operating BW changes much more so the FOUBE value is different and hence would be even more complex to implement in the harmonised standard. </w:t>
      </w:r>
    </w:p>
    <w:p w14:paraId="37056EF3" w14:textId="01410FA7" w:rsidR="00254E2D" w:rsidRPr="007824E5" w:rsidRDefault="00F74DAF" w:rsidP="00B7151B">
      <w:pPr>
        <w:rPr>
          <w:lang w:eastAsia="sv-SE"/>
        </w:rPr>
      </w:pPr>
      <w:r>
        <w:rPr>
          <w:rFonts w:hint="eastAsia"/>
          <w:lang w:eastAsia="sv-SE"/>
        </w:rPr>
        <w:t>I</w:t>
      </w:r>
      <w:r>
        <w:rPr>
          <w:lang w:eastAsia="sv-SE"/>
        </w:rPr>
        <w:t>n comparison to the issues with the BS it seems that agree equivalence in testing for the UE between n96 and the EU sub-band (with a new number) is a much more straight forward problem.</w:t>
      </w:r>
    </w:p>
    <w:p w14:paraId="7A9B05B7" w14:textId="153FDCD5" w:rsidR="00341F88" w:rsidRDefault="00DF769E" w:rsidP="00341F88">
      <w:pPr>
        <w:pStyle w:val="Heading1"/>
        <w:rPr>
          <w:lang w:eastAsia="sv-SE"/>
        </w:rPr>
      </w:pPr>
      <w:r>
        <w:rPr>
          <w:lang w:eastAsia="sv-SE"/>
        </w:rPr>
        <w:t>S</w:t>
      </w:r>
      <w:r w:rsidR="00341F88">
        <w:rPr>
          <w:lang w:eastAsia="sv-SE"/>
        </w:rPr>
        <w:t>ummary</w:t>
      </w:r>
    </w:p>
    <w:p w14:paraId="3E840472" w14:textId="7EC82EE9" w:rsidR="004F501E" w:rsidRDefault="00F74DAF" w:rsidP="00254E2D">
      <w:pPr>
        <w:rPr>
          <w:lang w:eastAsia="sv-SE"/>
        </w:rPr>
      </w:pPr>
      <w:r>
        <w:rPr>
          <w:lang w:eastAsia="sv-SE"/>
        </w:rPr>
        <w:t xml:space="preserve">In this paper we briefly restate our support and reasoning behind option 2 to allocate a new band number for the EU band </w:t>
      </w:r>
      <w:r w:rsidR="0093133D" w:rsidRPr="000D3CAF">
        <w:rPr>
          <w:lang w:eastAsia="sv-SE"/>
        </w:rPr>
        <w:t>5945 MHz to 6425 MHz</w:t>
      </w:r>
      <w:r w:rsidR="0093133D">
        <w:rPr>
          <w:lang w:eastAsia="sv-SE"/>
        </w:rPr>
        <w:t>.</w:t>
      </w:r>
    </w:p>
    <w:p w14:paraId="14C70724" w14:textId="77777777" w:rsidR="00986E7A" w:rsidRPr="00822172" w:rsidRDefault="00986E7A" w:rsidP="00986E7A">
      <w:pPr>
        <w:rPr>
          <w:lang w:eastAsia="sv-SE"/>
        </w:rPr>
      </w:pPr>
    </w:p>
    <w:sectPr w:rsidR="00986E7A" w:rsidRPr="0082217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45FAA" w14:textId="77777777" w:rsidR="00591704" w:rsidRDefault="00591704">
      <w:r>
        <w:separator/>
      </w:r>
    </w:p>
  </w:endnote>
  <w:endnote w:type="continuationSeparator" w:id="0">
    <w:p w14:paraId="270D2C55" w14:textId="77777777" w:rsidR="00591704" w:rsidRDefault="00591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3F3BF5" w:rsidRDefault="003F3BF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BBD65" w14:textId="77777777" w:rsidR="00591704" w:rsidRDefault="00591704">
      <w:r>
        <w:separator/>
      </w:r>
    </w:p>
  </w:footnote>
  <w:footnote w:type="continuationSeparator" w:id="0">
    <w:p w14:paraId="695A5BF2" w14:textId="77777777" w:rsidR="00591704" w:rsidRDefault="005917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3F3BF5" w:rsidRDefault="003F3B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63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3F3BF5" w:rsidRDefault="003F3B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63AC">
      <w:rPr>
        <w:rFonts w:ascii="Arial" w:hAnsi="Arial" w:cs="Arial"/>
        <w:b/>
        <w:noProof/>
        <w:sz w:val="18"/>
        <w:szCs w:val="18"/>
      </w:rPr>
      <w:t>1</w:t>
    </w:r>
    <w:r>
      <w:rPr>
        <w:rFonts w:ascii="Arial" w:hAnsi="Arial" w:cs="Arial"/>
        <w:b/>
        <w:sz w:val="18"/>
        <w:szCs w:val="18"/>
      </w:rPr>
      <w:fldChar w:fldCharType="end"/>
    </w:r>
  </w:p>
  <w:p w14:paraId="73BC3881" w14:textId="77777777" w:rsidR="003F3BF5" w:rsidRDefault="003F3B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63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3F3BF5" w:rsidRDefault="003F3B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3.25pt;height:75.25pt" o:bullet="t">
        <v:imagedata r:id="rId1" o:title="artA9B3"/>
      </v:shape>
    </w:pict>
  </w:numPicBullet>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1FA67D3"/>
    <w:multiLevelType w:val="hybridMultilevel"/>
    <w:tmpl w:val="B6183454"/>
    <w:lvl w:ilvl="0" w:tplc="6A0CBAF0">
      <w:start w:val="1"/>
      <w:numFmt w:val="bullet"/>
      <w:lvlText w:val=""/>
      <w:lvlPicBulletId w:val="0"/>
      <w:lvlJc w:val="left"/>
      <w:pPr>
        <w:tabs>
          <w:tab w:val="num" w:pos="720"/>
        </w:tabs>
        <w:ind w:left="720" w:hanging="360"/>
      </w:pPr>
      <w:rPr>
        <w:rFonts w:ascii="Symbol" w:hAnsi="Symbol" w:hint="default"/>
      </w:rPr>
    </w:lvl>
    <w:lvl w:ilvl="1" w:tplc="41D61974">
      <w:numFmt w:val="bullet"/>
      <w:lvlText w:val="•"/>
      <w:lvlJc w:val="left"/>
      <w:pPr>
        <w:tabs>
          <w:tab w:val="num" w:pos="1440"/>
        </w:tabs>
        <w:ind w:left="1440" w:hanging="360"/>
      </w:pPr>
      <w:rPr>
        <w:rFonts w:ascii="Arial" w:hAnsi="Arial" w:hint="default"/>
      </w:rPr>
    </w:lvl>
    <w:lvl w:ilvl="2" w:tplc="D740307E">
      <w:numFmt w:val="bullet"/>
      <w:lvlText w:val="•"/>
      <w:lvlJc w:val="left"/>
      <w:pPr>
        <w:tabs>
          <w:tab w:val="num" w:pos="2160"/>
        </w:tabs>
        <w:ind w:left="2160" w:hanging="360"/>
      </w:pPr>
      <w:rPr>
        <w:rFonts w:ascii="Arial" w:hAnsi="Arial" w:hint="default"/>
      </w:rPr>
    </w:lvl>
    <w:lvl w:ilvl="3" w:tplc="C9986D04">
      <w:start w:val="2"/>
      <w:numFmt w:val="bullet"/>
      <w:lvlText w:val="-"/>
      <w:lvlJc w:val="left"/>
      <w:pPr>
        <w:ind w:left="2880" w:hanging="360"/>
      </w:pPr>
      <w:rPr>
        <w:rFonts w:ascii="Times New Roman" w:eastAsiaTheme="minorEastAsia" w:hAnsi="Times New Roman" w:cs="Times New Roman" w:hint="default"/>
      </w:rPr>
    </w:lvl>
    <w:lvl w:ilvl="4" w:tplc="66900D82" w:tentative="1">
      <w:start w:val="1"/>
      <w:numFmt w:val="bullet"/>
      <w:lvlText w:val=""/>
      <w:lvlPicBulletId w:val="0"/>
      <w:lvlJc w:val="left"/>
      <w:pPr>
        <w:tabs>
          <w:tab w:val="num" w:pos="3600"/>
        </w:tabs>
        <w:ind w:left="3600" w:hanging="360"/>
      </w:pPr>
      <w:rPr>
        <w:rFonts w:ascii="Symbol" w:hAnsi="Symbol" w:hint="default"/>
      </w:rPr>
    </w:lvl>
    <w:lvl w:ilvl="5" w:tplc="75189370" w:tentative="1">
      <w:start w:val="1"/>
      <w:numFmt w:val="bullet"/>
      <w:lvlText w:val=""/>
      <w:lvlPicBulletId w:val="0"/>
      <w:lvlJc w:val="left"/>
      <w:pPr>
        <w:tabs>
          <w:tab w:val="num" w:pos="4320"/>
        </w:tabs>
        <w:ind w:left="4320" w:hanging="360"/>
      </w:pPr>
      <w:rPr>
        <w:rFonts w:ascii="Symbol" w:hAnsi="Symbol" w:hint="default"/>
      </w:rPr>
    </w:lvl>
    <w:lvl w:ilvl="6" w:tplc="BF8E3EF8" w:tentative="1">
      <w:start w:val="1"/>
      <w:numFmt w:val="bullet"/>
      <w:lvlText w:val=""/>
      <w:lvlPicBulletId w:val="0"/>
      <w:lvlJc w:val="left"/>
      <w:pPr>
        <w:tabs>
          <w:tab w:val="num" w:pos="5040"/>
        </w:tabs>
        <w:ind w:left="5040" w:hanging="360"/>
      </w:pPr>
      <w:rPr>
        <w:rFonts w:ascii="Symbol" w:hAnsi="Symbol" w:hint="default"/>
      </w:rPr>
    </w:lvl>
    <w:lvl w:ilvl="7" w:tplc="37307DBA" w:tentative="1">
      <w:start w:val="1"/>
      <w:numFmt w:val="bullet"/>
      <w:lvlText w:val=""/>
      <w:lvlPicBulletId w:val="0"/>
      <w:lvlJc w:val="left"/>
      <w:pPr>
        <w:tabs>
          <w:tab w:val="num" w:pos="5760"/>
        </w:tabs>
        <w:ind w:left="5760" w:hanging="360"/>
      </w:pPr>
      <w:rPr>
        <w:rFonts w:ascii="Symbol" w:hAnsi="Symbol" w:hint="default"/>
      </w:rPr>
    </w:lvl>
    <w:lvl w:ilvl="8" w:tplc="AD4CAA58"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0"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5FFA3DCE"/>
    <w:multiLevelType w:val="hybridMultilevel"/>
    <w:tmpl w:val="F0D6E580"/>
    <w:lvl w:ilvl="0" w:tplc="BD56076C">
      <w:start w:val="1"/>
      <w:numFmt w:val="bullet"/>
      <w:lvlText w:val=""/>
      <w:lvlPicBulletId w:val="0"/>
      <w:lvlJc w:val="left"/>
      <w:pPr>
        <w:tabs>
          <w:tab w:val="num" w:pos="720"/>
        </w:tabs>
        <w:ind w:left="720" w:hanging="360"/>
      </w:pPr>
      <w:rPr>
        <w:rFonts w:ascii="Symbol" w:hAnsi="Symbol" w:hint="default"/>
      </w:rPr>
    </w:lvl>
    <w:lvl w:ilvl="1" w:tplc="1116B8B8" w:tentative="1">
      <w:start w:val="1"/>
      <w:numFmt w:val="bullet"/>
      <w:lvlText w:val=""/>
      <w:lvlPicBulletId w:val="0"/>
      <w:lvlJc w:val="left"/>
      <w:pPr>
        <w:tabs>
          <w:tab w:val="num" w:pos="1440"/>
        </w:tabs>
        <w:ind w:left="1440" w:hanging="360"/>
      </w:pPr>
      <w:rPr>
        <w:rFonts w:ascii="Symbol" w:hAnsi="Symbol" w:hint="default"/>
      </w:rPr>
    </w:lvl>
    <w:lvl w:ilvl="2" w:tplc="F91419E8" w:tentative="1">
      <w:start w:val="1"/>
      <w:numFmt w:val="bullet"/>
      <w:lvlText w:val=""/>
      <w:lvlPicBulletId w:val="0"/>
      <w:lvlJc w:val="left"/>
      <w:pPr>
        <w:tabs>
          <w:tab w:val="num" w:pos="2160"/>
        </w:tabs>
        <w:ind w:left="2160" w:hanging="360"/>
      </w:pPr>
      <w:rPr>
        <w:rFonts w:ascii="Symbol" w:hAnsi="Symbol" w:hint="default"/>
      </w:rPr>
    </w:lvl>
    <w:lvl w:ilvl="3" w:tplc="5E0EB330" w:tentative="1">
      <w:start w:val="1"/>
      <w:numFmt w:val="bullet"/>
      <w:lvlText w:val=""/>
      <w:lvlPicBulletId w:val="0"/>
      <w:lvlJc w:val="left"/>
      <w:pPr>
        <w:tabs>
          <w:tab w:val="num" w:pos="2880"/>
        </w:tabs>
        <w:ind w:left="2880" w:hanging="360"/>
      </w:pPr>
      <w:rPr>
        <w:rFonts w:ascii="Symbol" w:hAnsi="Symbol" w:hint="default"/>
      </w:rPr>
    </w:lvl>
    <w:lvl w:ilvl="4" w:tplc="B70CF8CE" w:tentative="1">
      <w:start w:val="1"/>
      <w:numFmt w:val="bullet"/>
      <w:lvlText w:val=""/>
      <w:lvlPicBulletId w:val="0"/>
      <w:lvlJc w:val="left"/>
      <w:pPr>
        <w:tabs>
          <w:tab w:val="num" w:pos="3600"/>
        </w:tabs>
        <w:ind w:left="3600" w:hanging="360"/>
      </w:pPr>
      <w:rPr>
        <w:rFonts w:ascii="Symbol" w:hAnsi="Symbol" w:hint="default"/>
      </w:rPr>
    </w:lvl>
    <w:lvl w:ilvl="5" w:tplc="834A0CBE" w:tentative="1">
      <w:start w:val="1"/>
      <w:numFmt w:val="bullet"/>
      <w:lvlText w:val=""/>
      <w:lvlPicBulletId w:val="0"/>
      <w:lvlJc w:val="left"/>
      <w:pPr>
        <w:tabs>
          <w:tab w:val="num" w:pos="4320"/>
        </w:tabs>
        <w:ind w:left="4320" w:hanging="360"/>
      </w:pPr>
      <w:rPr>
        <w:rFonts w:ascii="Symbol" w:hAnsi="Symbol" w:hint="default"/>
      </w:rPr>
    </w:lvl>
    <w:lvl w:ilvl="6" w:tplc="1FD8E17A" w:tentative="1">
      <w:start w:val="1"/>
      <w:numFmt w:val="bullet"/>
      <w:lvlText w:val=""/>
      <w:lvlPicBulletId w:val="0"/>
      <w:lvlJc w:val="left"/>
      <w:pPr>
        <w:tabs>
          <w:tab w:val="num" w:pos="5040"/>
        </w:tabs>
        <w:ind w:left="5040" w:hanging="360"/>
      </w:pPr>
      <w:rPr>
        <w:rFonts w:ascii="Symbol" w:hAnsi="Symbol" w:hint="default"/>
      </w:rPr>
    </w:lvl>
    <w:lvl w:ilvl="7" w:tplc="95963336" w:tentative="1">
      <w:start w:val="1"/>
      <w:numFmt w:val="bullet"/>
      <w:lvlText w:val=""/>
      <w:lvlPicBulletId w:val="0"/>
      <w:lvlJc w:val="left"/>
      <w:pPr>
        <w:tabs>
          <w:tab w:val="num" w:pos="5760"/>
        </w:tabs>
        <w:ind w:left="5760" w:hanging="360"/>
      </w:pPr>
      <w:rPr>
        <w:rFonts w:ascii="Symbol" w:hAnsi="Symbol" w:hint="default"/>
      </w:rPr>
    </w:lvl>
    <w:lvl w:ilvl="8" w:tplc="0136C1C4"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2"/>
  </w:num>
  <w:num w:numId="2">
    <w:abstractNumId w:val="3"/>
  </w:num>
  <w:num w:numId="3">
    <w:abstractNumId w:val="13"/>
  </w:num>
  <w:num w:numId="4">
    <w:abstractNumId w:val="18"/>
  </w:num>
  <w:num w:numId="5">
    <w:abstractNumId w:val="9"/>
  </w:num>
  <w:num w:numId="6">
    <w:abstractNumId w:val="7"/>
  </w:num>
  <w:num w:numId="7">
    <w:abstractNumId w:val="0"/>
  </w:num>
  <w:num w:numId="8">
    <w:abstractNumId w:val="1"/>
  </w:num>
  <w:num w:numId="9">
    <w:abstractNumId w:val="5"/>
  </w:num>
  <w:num w:numId="10">
    <w:abstractNumId w:val="19"/>
  </w:num>
  <w:num w:numId="11">
    <w:abstractNumId w:val="10"/>
  </w:num>
  <w:num w:numId="12">
    <w:abstractNumId w:val="6"/>
  </w:num>
  <w:num w:numId="13">
    <w:abstractNumId w:val="16"/>
  </w:num>
  <w:num w:numId="14">
    <w:abstractNumId w:val="4"/>
  </w:num>
  <w:num w:numId="15">
    <w:abstractNumId w:val="11"/>
  </w:num>
  <w:num w:numId="16">
    <w:abstractNumId w:val="15"/>
  </w:num>
  <w:num w:numId="17">
    <w:abstractNumId w:val="2"/>
  </w:num>
  <w:num w:numId="18">
    <w:abstractNumId w:val="17"/>
  </w:num>
  <w:num w:numId="19">
    <w:abstractNumId w:val="8"/>
  </w:num>
  <w:num w:numId="2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30B"/>
    <w:rsid w:val="00080512"/>
    <w:rsid w:val="00087D4F"/>
    <w:rsid w:val="00090174"/>
    <w:rsid w:val="00092400"/>
    <w:rsid w:val="000B098D"/>
    <w:rsid w:val="000B2B77"/>
    <w:rsid w:val="000B386C"/>
    <w:rsid w:val="000C0617"/>
    <w:rsid w:val="000C45E3"/>
    <w:rsid w:val="000C47C3"/>
    <w:rsid w:val="000C4F59"/>
    <w:rsid w:val="000C5861"/>
    <w:rsid w:val="000D3CAF"/>
    <w:rsid w:val="000D58AB"/>
    <w:rsid w:val="000E0745"/>
    <w:rsid w:val="000E4442"/>
    <w:rsid w:val="000F03AA"/>
    <w:rsid w:val="000F097E"/>
    <w:rsid w:val="000F2726"/>
    <w:rsid w:val="000F4A94"/>
    <w:rsid w:val="000F67B3"/>
    <w:rsid w:val="000F7301"/>
    <w:rsid w:val="001016A7"/>
    <w:rsid w:val="001025B4"/>
    <w:rsid w:val="00103EC9"/>
    <w:rsid w:val="00104EA2"/>
    <w:rsid w:val="00107069"/>
    <w:rsid w:val="00117B04"/>
    <w:rsid w:val="00121A94"/>
    <w:rsid w:val="001242E2"/>
    <w:rsid w:val="00130C28"/>
    <w:rsid w:val="00133525"/>
    <w:rsid w:val="00133842"/>
    <w:rsid w:val="0014339E"/>
    <w:rsid w:val="00150414"/>
    <w:rsid w:val="001521E2"/>
    <w:rsid w:val="00161CE3"/>
    <w:rsid w:val="001708E8"/>
    <w:rsid w:val="001744A9"/>
    <w:rsid w:val="001749AF"/>
    <w:rsid w:val="00175931"/>
    <w:rsid w:val="001855C6"/>
    <w:rsid w:val="00185D44"/>
    <w:rsid w:val="00187255"/>
    <w:rsid w:val="00192677"/>
    <w:rsid w:val="001A3299"/>
    <w:rsid w:val="001A438D"/>
    <w:rsid w:val="001A4C42"/>
    <w:rsid w:val="001A7420"/>
    <w:rsid w:val="001B1364"/>
    <w:rsid w:val="001B40A8"/>
    <w:rsid w:val="001B6637"/>
    <w:rsid w:val="001C185F"/>
    <w:rsid w:val="001C21C3"/>
    <w:rsid w:val="001C4C76"/>
    <w:rsid w:val="001C6E15"/>
    <w:rsid w:val="001D02C2"/>
    <w:rsid w:val="001E6671"/>
    <w:rsid w:val="001F0C1D"/>
    <w:rsid w:val="001F1132"/>
    <w:rsid w:val="001F168B"/>
    <w:rsid w:val="001F1932"/>
    <w:rsid w:val="001F5260"/>
    <w:rsid w:val="001F5FFE"/>
    <w:rsid w:val="00200102"/>
    <w:rsid w:val="00211D83"/>
    <w:rsid w:val="0021591F"/>
    <w:rsid w:val="00221982"/>
    <w:rsid w:val="00225AB4"/>
    <w:rsid w:val="002331D7"/>
    <w:rsid w:val="002347A2"/>
    <w:rsid w:val="002431E2"/>
    <w:rsid w:val="00245905"/>
    <w:rsid w:val="00246CB3"/>
    <w:rsid w:val="0025042B"/>
    <w:rsid w:val="00254E2D"/>
    <w:rsid w:val="00260CE1"/>
    <w:rsid w:val="00261B39"/>
    <w:rsid w:val="00262AE6"/>
    <w:rsid w:val="00264D78"/>
    <w:rsid w:val="00266C86"/>
    <w:rsid w:val="002675F0"/>
    <w:rsid w:val="002730C6"/>
    <w:rsid w:val="00273D30"/>
    <w:rsid w:val="00277A77"/>
    <w:rsid w:val="00284512"/>
    <w:rsid w:val="002852A0"/>
    <w:rsid w:val="002856C7"/>
    <w:rsid w:val="002A49C5"/>
    <w:rsid w:val="002B127C"/>
    <w:rsid w:val="002B446B"/>
    <w:rsid w:val="002B6339"/>
    <w:rsid w:val="002B653F"/>
    <w:rsid w:val="002D4665"/>
    <w:rsid w:val="002D6306"/>
    <w:rsid w:val="002E00EE"/>
    <w:rsid w:val="0031005D"/>
    <w:rsid w:val="00313C86"/>
    <w:rsid w:val="00316A11"/>
    <w:rsid w:val="003172DC"/>
    <w:rsid w:val="003175CD"/>
    <w:rsid w:val="003222A1"/>
    <w:rsid w:val="003225ED"/>
    <w:rsid w:val="003272C6"/>
    <w:rsid w:val="003363AC"/>
    <w:rsid w:val="0033742A"/>
    <w:rsid w:val="00341F88"/>
    <w:rsid w:val="00346396"/>
    <w:rsid w:val="00351F59"/>
    <w:rsid w:val="00352556"/>
    <w:rsid w:val="003532DA"/>
    <w:rsid w:val="0035462D"/>
    <w:rsid w:val="003554DE"/>
    <w:rsid w:val="00357113"/>
    <w:rsid w:val="00362714"/>
    <w:rsid w:val="00362A3E"/>
    <w:rsid w:val="003645B7"/>
    <w:rsid w:val="003663F8"/>
    <w:rsid w:val="0036707F"/>
    <w:rsid w:val="00374D16"/>
    <w:rsid w:val="00376406"/>
    <w:rsid w:val="003765B8"/>
    <w:rsid w:val="0037754A"/>
    <w:rsid w:val="003860F2"/>
    <w:rsid w:val="00386C8A"/>
    <w:rsid w:val="00394014"/>
    <w:rsid w:val="003A06FD"/>
    <w:rsid w:val="003A0776"/>
    <w:rsid w:val="003A2B4E"/>
    <w:rsid w:val="003A34E6"/>
    <w:rsid w:val="003A5ED7"/>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01E"/>
    <w:rsid w:val="004F5179"/>
    <w:rsid w:val="00505E27"/>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91704"/>
    <w:rsid w:val="00591DA1"/>
    <w:rsid w:val="00597B11"/>
    <w:rsid w:val="005A2C0F"/>
    <w:rsid w:val="005A4B47"/>
    <w:rsid w:val="005B000A"/>
    <w:rsid w:val="005C62BF"/>
    <w:rsid w:val="005C67FF"/>
    <w:rsid w:val="005C704F"/>
    <w:rsid w:val="005D008B"/>
    <w:rsid w:val="005D0D0B"/>
    <w:rsid w:val="005D0D92"/>
    <w:rsid w:val="005D2E01"/>
    <w:rsid w:val="005D6561"/>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1218"/>
    <w:rsid w:val="006559E0"/>
    <w:rsid w:val="00675956"/>
    <w:rsid w:val="006846A4"/>
    <w:rsid w:val="00687518"/>
    <w:rsid w:val="0069362B"/>
    <w:rsid w:val="00694F06"/>
    <w:rsid w:val="0069627A"/>
    <w:rsid w:val="00696741"/>
    <w:rsid w:val="006A164C"/>
    <w:rsid w:val="006A2C14"/>
    <w:rsid w:val="006A323F"/>
    <w:rsid w:val="006A46B9"/>
    <w:rsid w:val="006A5597"/>
    <w:rsid w:val="006A738B"/>
    <w:rsid w:val="006B30D0"/>
    <w:rsid w:val="006C21D5"/>
    <w:rsid w:val="006C3D95"/>
    <w:rsid w:val="006D0173"/>
    <w:rsid w:val="006D02A7"/>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66067"/>
    <w:rsid w:val="00770F84"/>
    <w:rsid w:val="00774DA4"/>
    <w:rsid w:val="00776D8E"/>
    <w:rsid w:val="007803D4"/>
    <w:rsid w:val="00781F0F"/>
    <w:rsid w:val="00782147"/>
    <w:rsid w:val="007824E5"/>
    <w:rsid w:val="00792DE0"/>
    <w:rsid w:val="00796A2B"/>
    <w:rsid w:val="007A1959"/>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2172"/>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6EA8"/>
    <w:rsid w:val="00872A01"/>
    <w:rsid w:val="00873873"/>
    <w:rsid w:val="008740BA"/>
    <w:rsid w:val="008768CA"/>
    <w:rsid w:val="00881487"/>
    <w:rsid w:val="00883210"/>
    <w:rsid w:val="00883B04"/>
    <w:rsid w:val="00885334"/>
    <w:rsid w:val="00886FD1"/>
    <w:rsid w:val="008963F0"/>
    <w:rsid w:val="008A2E42"/>
    <w:rsid w:val="008A38F7"/>
    <w:rsid w:val="008A3E58"/>
    <w:rsid w:val="008A6A51"/>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133D"/>
    <w:rsid w:val="00934248"/>
    <w:rsid w:val="00936771"/>
    <w:rsid w:val="00937280"/>
    <w:rsid w:val="00942EC2"/>
    <w:rsid w:val="00943A14"/>
    <w:rsid w:val="0094555C"/>
    <w:rsid w:val="00946386"/>
    <w:rsid w:val="0095387D"/>
    <w:rsid w:val="00964F1F"/>
    <w:rsid w:val="0096655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401A"/>
    <w:rsid w:val="009D631A"/>
    <w:rsid w:val="009D716E"/>
    <w:rsid w:val="009E213A"/>
    <w:rsid w:val="009E228F"/>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4B03"/>
    <w:rsid w:val="00B339B8"/>
    <w:rsid w:val="00B413A1"/>
    <w:rsid w:val="00B4304E"/>
    <w:rsid w:val="00B47018"/>
    <w:rsid w:val="00B609D3"/>
    <w:rsid w:val="00B7151B"/>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3082"/>
    <w:rsid w:val="00BF58C0"/>
    <w:rsid w:val="00BF61DF"/>
    <w:rsid w:val="00BF62B9"/>
    <w:rsid w:val="00BF66D8"/>
    <w:rsid w:val="00C03235"/>
    <w:rsid w:val="00C034BE"/>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965"/>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35EE"/>
    <w:rsid w:val="00D95FCF"/>
    <w:rsid w:val="00DA0403"/>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DF769E"/>
    <w:rsid w:val="00E04A4C"/>
    <w:rsid w:val="00E06B2D"/>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3554"/>
    <w:rsid w:val="00ED5D38"/>
    <w:rsid w:val="00EE03E3"/>
    <w:rsid w:val="00EE08D5"/>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67809"/>
    <w:rsid w:val="00F71FE5"/>
    <w:rsid w:val="00F72C2A"/>
    <w:rsid w:val="00F74DAF"/>
    <w:rsid w:val="00F759AD"/>
    <w:rsid w:val="00F75DFB"/>
    <w:rsid w:val="00F8438A"/>
    <w:rsid w:val="00F9008D"/>
    <w:rsid w:val="00F93C96"/>
    <w:rsid w:val="00F97287"/>
    <w:rsid w:val="00FA1263"/>
    <w:rsid w:val="00FA1266"/>
    <w:rsid w:val="00FA3932"/>
    <w:rsid w:val="00FB4B0D"/>
    <w:rsid w:val="00FB4E42"/>
    <w:rsid w:val="00FC0B51"/>
    <w:rsid w:val="00FC1192"/>
    <w:rsid w:val="00FC3855"/>
    <w:rsid w:val="00FD7C63"/>
    <w:rsid w:val="00FE4F62"/>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5079712">
      <w:bodyDiv w:val="1"/>
      <w:marLeft w:val="0"/>
      <w:marRight w:val="0"/>
      <w:marTop w:val="0"/>
      <w:marBottom w:val="0"/>
      <w:divBdr>
        <w:top w:val="none" w:sz="0" w:space="0" w:color="auto"/>
        <w:left w:val="none" w:sz="0" w:space="0" w:color="auto"/>
        <w:bottom w:val="none" w:sz="0" w:space="0" w:color="auto"/>
        <w:right w:val="none" w:sz="0" w:space="0" w:color="auto"/>
      </w:divBdr>
      <w:divsChild>
        <w:div w:id="1679624643">
          <w:marLeft w:val="360"/>
          <w:marRight w:val="0"/>
          <w:marTop w:val="200"/>
          <w:marBottom w:val="0"/>
          <w:divBdr>
            <w:top w:val="none" w:sz="0" w:space="0" w:color="auto"/>
            <w:left w:val="none" w:sz="0" w:space="0" w:color="auto"/>
            <w:bottom w:val="none" w:sz="0" w:space="0" w:color="auto"/>
            <w:right w:val="none" w:sz="0" w:space="0" w:color="auto"/>
          </w:divBdr>
        </w:div>
        <w:div w:id="41907121">
          <w:marLeft w:val="1080"/>
          <w:marRight w:val="0"/>
          <w:marTop w:val="100"/>
          <w:marBottom w:val="0"/>
          <w:divBdr>
            <w:top w:val="none" w:sz="0" w:space="0" w:color="auto"/>
            <w:left w:val="none" w:sz="0" w:space="0" w:color="auto"/>
            <w:bottom w:val="none" w:sz="0" w:space="0" w:color="auto"/>
            <w:right w:val="none" w:sz="0" w:space="0" w:color="auto"/>
          </w:divBdr>
        </w:div>
        <w:div w:id="1613245359">
          <w:marLeft w:val="1800"/>
          <w:marRight w:val="0"/>
          <w:marTop w:val="100"/>
          <w:marBottom w:val="0"/>
          <w:divBdr>
            <w:top w:val="none" w:sz="0" w:space="0" w:color="auto"/>
            <w:left w:val="none" w:sz="0" w:space="0" w:color="auto"/>
            <w:bottom w:val="none" w:sz="0" w:space="0" w:color="auto"/>
            <w:right w:val="none" w:sz="0" w:space="0" w:color="auto"/>
          </w:divBdr>
        </w:div>
        <w:div w:id="1388529284">
          <w:marLeft w:val="1080"/>
          <w:marRight w:val="0"/>
          <w:marTop w:val="100"/>
          <w:marBottom w:val="0"/>
          <w:divBdr>
            <w:top w:val="none" w:sz="0" w:space="0" w:color="auto"/>
            <w:left w:val="none" w:sz="0" w:space="0" w:color="auto"/>
            <w:bottom w:val="none" w:sz="0" w:space="0" w:color="auto"/>
            <w:right w:val="none" w:sz="0" w:space="0" w:color="auto"/>
          </w:divBdr>
        </w:div>
        <w:div w:id="1124810031">
          <w:marLeft w:val="1800"/>
          <w:marRight w:val="0"/>
          <w:marTop w:val="100"/>
          <w:marBottom w:val="0"/>
          <w:divBdr>
            <w:top w:val="none" w:sz="0" w:space="0" w:color="auto"/>
            <w:left w:val="none" w:sz="0" w:space="0" w:color="auto"/>
            <w:bottom w:val="none" w:sz="0" w:space="0" w:color="auto"/>
            <w:right w:val="none" w:sz="0" w:space="0" w:color="auto"/>
          </w:divBdr>
        </w:div>
        <w:div w:id="176510987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D849D-1E0C-4DA7-8352-463499FC0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520</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 demod</cp:lastModifiedBy>
  <cp:revision>2</cp:revision>
  <cp:lastPrinted>2019-02-25T13:05:00Z</cp:lastPrinted>
  <dcterms:created xsi:type="dcterms:W3CDTF">2021-08-06T16:24:00Z</dcterms:created>
  <dcterms:modified xsi:type="dcterms:W3CDTF">2021-08-06T16:24:00Z</dcterms:modified>
</cp:coreProperties>
</file>